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614DB">
      <w:pPr>
        <w:spacing w:before="140" w:line="256" w:lineRule="auto"/>
        <w:ind w:right="165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9"/>
          <w:sz w:val="43"/>
          <w:szCs w:val="43"/>
        </w:rPr>
        <w:t>关于印发《辽宁省住房和城乡建设系统行政处</w:t>
      </w:r>
      <w:r>
        <w:rPr>
          <w:rFonts w:ascii="宋体" w:hAnsi="宋体" w:eastAsia="宋体" w:cs="宋体"/>
          <w:spacing w:val="10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20"/>
          <w:sz w:val="43"/>
          <w:szCs w:val="43"/>
        </w:rPr>
        <w:t>罚裁量基准编制和适用规则》《辽宁省住房和</w:t>
      </w:r>
      <w:r>
        <w:rPr>
          <w:rFonts w:ascii="宋体" w:hAnsi="宋体" w:eastAsia="宋体" w:cs="宋体"/>
          <w:spacing w:val="14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7"/>
          <w:sz w:val="43"/>
          <w:szCs w:val="43"/>
        </w:rPr>
        <w:t>城乡建设系统行政处罚裁量权基准》的通知</w:t>
      </w:r>
    </w:p>
    <w:p w14:paraId="2C881D5F">
      <w:pPr>
        <w:spacing w:line="293" w:lineRule="auto"/>
        <w:jc w:val="center"/>
        <w:rPr>
          <w:rFonts w:ascii="Arial"/>
          <w:sz w:val="21"/>
        </w:rPr>
      </w:pPr>
    </w:p>
    <w:p w14:paraId="1C9BA070">
      <w:pPr>
        <w:spacing w:line="294" w:lineRule="auto"/>
        <w:rPr>
          <w:rFonts w:ascii="Arial"/>
          <w:sz w:val="21"/>
        </w:rPr>
      </w:pPr>
    </w:p>
    <w:p w14:paraId="61CF7BAC">
      <w:pPr>
        <w:pStyle w:val="2"/>
        <w:spacing w:before="101" w:line="347" w:lineRule="auto"/>
        <w:ind w:left="299" w:right="105" w:hanging="11"/>
        <w:jc w:val="both"/>
      </w:pPr>
      <w:r>
        <w:rPr>
          <w:spacing w:val="9"/>
        </w:rPr>
        <w:t>各市住房城乡建设局、公积金管理中心，相关市城管</w:t>
      </w:r>
      <w:r>
        <w:rPr>
          <w:spacing w:val="8"/>
        </w:rPr>
        <w:t>局，沈</w:t>
      </w:r>
      <w:r>
        <w:t xml:space="preserve"> 阳市城乡建设局、房产局，沈抚新区管委会，厅</w:t>
      </w:r>
      <w:r>
        <w:rPr>
          <w:spacing w:val="-1"/>
        </w:rPr>
        <w:t>机关各处室，</w:t>
      </w:r>
      <w:r>
        <w:t xml:space="preserve"> </w:t>
      </w:r>
      <w:r>
        <w:rPr>
          <w:spacing w:val="4"/>
        </w:rPr>
        <w:t>省建服中心：</w:t>
      </w:r>
    </w:p>
    <w:p w14:paraId="664D8F7F">
      <w:pPr>
        <w:pStyle w:val="2"/>
        <w:spacing w:before="48" w:line="353" w:lineRule="auto"/>
        <w:ind w:left="281" w:right="186" w:firstLine="658"/>
        <w:jc w:val="both"/>
      </w:pPr>
      <w:r>
        <w:rPr>
          <w:spacing w:val="8"/>
        </w:rPr>
        <w:t>为贯彻落实《国务院办公厅关于进一步规范行政裁量权</w:t>
      </w:r>
      <w:r>
        <w:rPr>
          <w:spacing w:val="9"/>
        </w:rPr>
        <w:t xml:space="preserve"> </w:t>
      </w:r>
      <w:r>
        <w:rPr>
          <w:spacing w:val="3"/>
        </w:rPr>
        <w:t>基准制定和管理工作的意见》（</w:t>
      </w:r>
      <w:r>
        <w:rPr>
          <w:spacing w:val="-70"/>
        </w:rPr>
        <w:t xml:space="preserve"> </w:t>
      </w:r>
      <w:r>
        <w:rPr>
          <w:spacing w:val="3"/>
        </w:rPr>
        <w:t>国办发〔2022〕27</w:t>
      </w:r>
      <w:r>
        <w:rPr>
          <w:spacing w:val="-51"/>
        </w:rPr>
        <w:t xml:space="preserve"> </w:t>
      </w:r>
      <w:r>
        <w:rPr>
          <w:spacing w:val="3"/>
        </w:rPr>
        <w:t>号</w:t>
      </w:r>
      <w:r>
        <w:rPr>
          <w:spacing w:val="-16"/>
        </w:rPr>
        <w:t>），</w:t>
      </w:r>
      <w:r>
        <w:rPr>
          <w:spacing w:val="3"/>
        </w:rPr>
        <w:t>规</w:t>
      </w:r>
      <w:r>
        <w:t xml:space="preserve"> </w:t>
      </w:r>
      <w:r>
        <w:rPr>
          <w:spacing w:val="9"/>
        </w:rPr>
        <w:t>范全省住建领域行政处罚自由裁量行为，保障和监督住建部</w:t>
      </w:r>
      <w:r>
        <w:rPr>
          <w:spacing w:val="4"/>
        </w:rPr>
        <w:t xml:space="preserve"> </w:t>
      </w:r>
      <w:r>
        <w:rPr>
          <w:spacing w:val="9"/>
        </w:rPr>
        <w:t>门准确行使行政处罚自由裁量权，保护公民、法人和其他组</w:t>
      </w:r>
      <w:r>
        <w:rPr>
          <w:spacing w:val="6"/>
        </w:rPr>
        <w:t xml:space="preserve"> </w:t>
      </w:r>
      <w:r>
        <w:rPr>
          <w:spacing w:val="9"/>
        </w:rPr>
        <w:t>织的合法权益，省住建厅印发《辽宁省住房和城乡建设系统</w:t>
      </w:r>
      <w:r>
        <w:rPr>
          <w:spacing w:val="6"/>
        </w:rPr>
        <w:t xml:space="preserve"> </w:t>
      </w:r>
      <w:r>
        <w:rPr>
          <w:spacing w:val="2"/>
        </w:rPr>
        <w:t>行政处罚裁量基准编制和适用规则（2023</w:t>
      </w:r>
      <w:r>
        <w:rPr>
          <w:spacing w:val="-67"/>
        </w:rPr>
        <w:t xml:space="preserve"> </w:t>
      </w:r>
      <w:r>
        <w:rPr>
          <w:spacing w:val="2"/>
        </w:rPr>
        <w:t>版）</w:t>
      </w:r>
      <w:r>
        <w:rPr>
          <w:spacing w:val="1"/>
        </w:rPr>
        <w:t>》（</w:t>
      </w:r>
      <w:r>
        <w:rPr>
          <w:spacing w:val="-55"/>
        </w:rPr>
        <w:t xml:space="preserve"> </w:t>
      </w:r>
      <w:r>
        <w:rPr>
          <w:spacing w:val="1"/>
        </w:rPr>
        <w:t>以下简称</w:t>
      </w:r>
      <w:r>
        <w:t xml:space="preserve"> </w:t>
      </w:r>
      <w:r>
        <w:rPr>
          <w:spacing w:val="9"/>
        </w:rPr>
        <w:t>《编制和适用规则》）《辽宁省住房和城乡建设系统行政处</w:t>
      </w:r>
    </w:p>
    <w:p w14:paraId="6B2FE74A">
      <w:pPr>
        <w:spacing w:line="353" w:lineRule="auto"/>
        <w:sectPr>
          <w:footerReference r:id="rId5" w:type="default"/>
          <w:pgSz w:w="11906" w:h="16839"/>
          <w:pgMar w:top="1431" w:right="1612" w:bottom="1123" w:left="1522" w:header="0" w:footer="843" w:gutter="0"/>
          <w:cols w:space="720" w:num="1"/>
        </w:sectPr>
      </w:pPr>
    </w:p>
    <w:p w14:paraId="57A48976">
      <w:pPr>
        <w:pStyle w:val="2"/>
        <w:spacing w:before="215" w:line="347" w:lineRule="auto"/>
        <w:ind w:left="36" w:right="153" w:firstLine="7"/>
      </w:pPr>
      <w:r>
        <w:rPr>
          <w:spacing w:val="7"/>
        </w:rPr>
        <w:t>罚裁量权基准（2023</w:t>
      </w:r>
      <w:r>
        <w:rPr>
          <w:spacing w:val="-64"/>
        </w:rPr>
        <w:t xml:space="preserve"> </w:t>
      </w:r>
      <w:r>
        <w:rPr>
          <w:spacing w:val="7"/>
        </w:rPr>
        <w:t>版)》（</w:t>
      </w:r>
      <w:r>
        <w:rPr>
          <w:spacing w:val="-50"/>
        </w:rPr>
        <w:t xml:space="preserve"> </w:t>
      </w:r>
      <w:r>
        <w:rPr>
          <w:spacing w:val="7"/>
        </w:rPr>
        <w:t>以下简称《裁量权基准》</w:t>
      </w:r>
      <w:r>
        <w:rPr>
          <w:spacing w:val="-4"/>
        </w:rPr>
        <w:t>），</w:t>
      </w:r>
      <w:r>
        <w:t xml:space="preserve"> </w:t>
      </w:r>
      <w:r>
        <w:rPr>
          <w:spacing w:val="8"/>
        </w:rPr>
        <w:t>现将《编制和适用规则》《裁量权基准》转发你们，并提出</w:t>
      </w:r>
      <w:r>
        <w:rPr>
          <w:spacing w:val="14"/>
        </w:rPr>
        <w:t xml:space="preserve"> </w:t>
      </w:r>
      <w:r>
        <w:rPr>
          <w:spacing w:val="6"/>
        </w:rPr>
        <w:t>以下要求，请一并执行。</w:t>
      </w:r>
    </w:p>
    <w:p w14:paraId="295946E0">
      <w:pPr>
        <w:spacing w:before="52" w:line="228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一、适用范围</w:t>
      </w:r>
    </w:p>
    <w:p w14:paraId="30E26F25">
      <w:pPr>
        <w:pStyle w:val="2"/>
        <w:spacing w:before="218" w:line="342" w:lineRule="auto"/>
        <w:ind w:left="18" w:right="475" w:firstLine="647"/>
      </w:pPr>
      <w:r>
        <w:rPr>
          <w:spacing w:val="8"/>
        </w:rPr>
        <w:t>全省各级住房城乡建设部门在实施行政处罚时，执行</w:t>
      </w:r>
      <w:r>
        <w:rPr>
          <w:spacing w:val="17"/>
        </w:rPr>
        <w:t xml:space="preserve"> </w:t>
      </w:r>
      <w:r>
        <w:rPr>
          <w:spacing w:val="5"/>
        </w:rPr>
        <w:t>《编制和适用规则》《裁量权基准》。</w:t>
      </w:r>
    </w:p>
    <w:p w14:paraId="1BD0AB4C">
      <w:pPr>
        <w:spacing w:before="49" w:line="227" w:lineRule="auto"/>
        <w:ind w:left="7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二、实施要求</w:t>
      </w:r>
    </w:p>
    <w:p w14:paraId="6DBEAE17">
      <w:pPr>
        <w:pStyle w:val="2"/>
        <w:spacing w:before="224" w:line="352" w:lineRule="auto"/>
        <w:ind w:left="26" w:firstLine="660"/>
      </w:pPr>
      <w:r>
        <w:rPr>
          <w:b/>
          <w:bCs/>
          <w:spacing w:val="5"/>
        </w:rPr>
        <w:t>1.新旧《裁量权基准》适用规则。</w:t>
      </w:r>
      <w:r>
        <w:rPr>
          <w:spacing w:val="5"/>
        </w:rPr>
        <w:t>实施住房城乡建设领</w:t>
      </w:r>
      <w:r>
        <w:rPr>
          <w:spacing w:val="6"/>
        </w:rPr>
        <w:t xml:space="preserve">  </w:t>
      </w:r>
      <w:r>
        <w:rPr>
          <w:spacing w:val="9"/>
        </w:rPr>
        <w:t>域行政处罚时，应当依据《裁量权基准》行使行政</w:t>
      </w:r>
      <w:r>
        <w:rPr>
          <w:spacing w:val="8"/>
        </w:rPr>
        <w:t>处罚自由</w:t>
      </w:r>
      <w:r>
        <w:t xml:space="preserve">  </w:t>
      </w:r>
      <w:r>
        <w:rPr>
          <w:spacing w:val="-2"/>
        </w:rPr>
        <w:t>裁量权。2023年11月3</w:t>
      </w:r>
      <w:r>
        <w:rPr>
          <w:rFonts w:hint="eastAsia"/>
          <w:spacing w:val="-2"/>
          <w:lang w:val="en-US" w:eastAsia="zh-CN"/>
        </w:rPr>
        <w:t>0</w:t>
      </w:r>
      <w:r>
        <w:rPr>
          <w:spacing w:val="-2"/>
        </w:rPr>
        <w:t>日以前立案的行政处罚案件，需要</w:t>
      </w:r>
      <w:r>
        <w:rPr>
          <w:spacing w:val="9"/>
        </w:rPr>
        <w:t>行使行政处罚自由裁量权的，原则上适用旧行政处</w:t>
      </w:r>
      <w:r>
        <w:rPr>
          <w:spacing w:val="8"/>
        </w:rPr>
        <w:t>罚裁量基</w:t>
      </w:r>
      <w:r>
        <w:rPr>
          <w:spacing w:val="3"/>
        </w:rPr>
        <w:t>准，不能适用旧行政处罚裁量基准的，可参照《裁</w:t>
      </w:r>
      <w:r>
        <w:rPr>
          <w:spacing w:val="2"/>
        </w:rPr>
        <w:t>量权基准》</w:t>
      </w:r>
      <w:r>
        <w:rPr>
          <w:spacing w:val="1"/>
        </w:rPr>
        <w:t>实施。</w:t>
      </w:r>
    </w:p>
    <w:p w14:paraId="2F62823C">
      <w:pPr>
        <w:pStyle w:val="2"/>
        <w:spacing w:before="51" w:line="353" w:lineRule="auto"/>
        <w:ind w:left="18" w:right="58" w:firstLine="661"/>
        <w:jc w:val="both"/>
      </w:pPr>
      <w:r>
        <w:rPr>
          <w:b/>
          <w:bCs/>
          <w:spacing w:val="6"/>
        </w:rPr>
        <w:t>2.严格规范行政处罚程序。</w:t>
      </w:r>
      <w:r>
        <w:rPr>
          <w:spacing w:val="6"/>
        </w:rPr>
        <w:t>在办理行政处罚案件中要充</w:t>
      </w:r>
      <w:r>
        <w:rPr>
          <w:spacing w:val="7"/>
        </w:rPr>
        <w:t xml:space="preserve"> </w:t>
      </w:r>
      <w:r>
        <w:rPr>
          <w:spacing w:val="1"/>
        </w:rPr>
        <w:t>分保障行政相对人知情权，在制作《行政处罚事先告知书</w:t>
      </w:r>
      <w:r>
        <w:t xml:space="preserve">》、 </w:t>
      </w:r>
      <w:r>
        <w:rPr>
          <w:spacing w:val="9"/>
        </w:rPr>
        <w:t>《行政处罚决定书》时除满足《城市管理行政执法文书示范</w:t>
      </w:r>
      <w:r>
        <w:rPr>
          <w:spacing w:val="6"/>
        </w:rPr>
        <w:t xml:space="preserve"> </w:t>
      </w:r>
      <w:r>
        <w:rPr>
          <w:spacing w:val="9"/>
        </w:rPr>
        <w:t>文本（试行）》规定的内容外，还要写明行使自由裁量权的</w:t>
      </w:r>
      <w:r>
        <w:rPr>
          <w:spacing w:val="6"/>
        </w:rPr>
        <w:t xml:space="preserve"> </w:t>
      </w:r>
      <w:r>
        <w:rPr>
          <w:spacing w:val="9"/>
        </w:rPr>
        <w:t>依据，主要包括：依据《裁量权基准》具体事项、行政相对</w:t>
      </w:r>
      <w:r>
        <w:rPr>
          <w:spacing w:val="4"/>
        </w:rPr>
        <w:t xml:space="preserve"> </w:t>
      </w:r>
      <w:r>
        <w:rPr>
          <w:spacing w:val="9"/>
        </w:rPr>
        <w:t>人违法情节、危害后果、依据具体裁量基准最终决定实施的</w:t>
      </w:r>
      <w:r>
        <w:rPr>
          <w:spacing w:val="6"/>
        </w:rPr>
        <w:t xml:space="preserve"> 处罚内容。</w:t>
      </w:r>
    </w:p>
    <w:p w14:paraId="38AF922F">
      <w:pPr>
        <w:pStyle w:val="2"/>
        <w:spacing w:before="49" w:line="347" w:lineRule="auto"/>
        <w:ind w:left="18" w:right="156" w:firstLine="673"/>
        <w:jc w:val="both"/>
      </w:pPr>
      <w:r>
        <w:rPr>
          <w:b/>
          <w:bCs/>
          <w:spacing w:val="6"/>
        </w:rPr>
        <w:t>3.加强执法人员培训。</w:t>
      </w:r>
      <w:r>
        <w:rPr>
          <w:spacing w:val="6"/>
        </w:rPr>
        <w:t>各单位要加强学习，保证执</w:t>
      </w:r>
      <w:r>
        <w:rPr>
          <w:spacing w:val="5"/>
        </w:rPr>
        <w:t>法人</w:t>
      </w:r>
      <w:r>
        <w:t xml:space="preserve"> </w:t>
      </w:r>
      <w:r>
        <w:rPr>
          <w:spacing w:val="6"/>
        </w:rPr>
        <w:t>员熟悉《编制和适用规则》《裁量权基准》</w:t>
      </w:r>
      <w:r>
        <w:rPr>
          <w:spacing w:val="-73"/>
        </w:rPr>
        <w:t xml:space="preserve"> </w:t>
      </w:r>
      <w:r>
        <w:rPr>
          <w:spacing w:val="6"/>
        </w:rPr>
        <w:t>内容，正确适用</w:t>
      </w:r>
      <w:r>
        <w:t xml:space="preserve"> </w:t>
      </w:r>
      <w:r>
        <w:rPr>
          <w:spacing w:val="8"/>
        </w:rPr>
        <w:t>《裁量权基准》实施行政处罚。</w:t>
      </w:r>
    </w:p>
    <w:p w14:paraId="49E0A1BE">
      <w:pPr>
        <w:spacing w:line="347" w:lineRule="auto"/>
        <w:sectPr>
          <w:footerReference r:id="rId6" w:type="default"/>
          <w:pgSz w:w="11906" w:h="16839"/>
          <w:pgMar w:top="1431" w:right="1645" w:bottom="1121" w:left="1785" w:header="0" w:footer="843" w:gutter="0"/>
          <w:cols w:space="720" w:num="1"/>
        </w:sectPr>
      </w:pPr>
    </w:p>
    <w:p w14:paraId="67BE4ED2">
      <w:pPr>
        <w:spacing w:line="356" w:lineRule="auto"/>
        <w:rPr>
          <w:rFonts w:ascii="Arial"/>
          <w:sz w:val="21"/>
        </w:rPr>
      </w:pPr>
    </w:p>
    <w:p w14:paraId="4291BCBD">
      <w:pPr>
        <w:spacing w:line="356" w:lineRule="auto"/>
        <w:rPr>
          <w:rFonts w:ascii="Arial"/>
          <w:sz w:val="21"/>
        </w:rPr>
      </w:pPr>
    </w:p>
    <w:p w14:paraId="1E8E96A8">
      <w:pPr>
        <w:pStyle w:val="2"/>
        <w:spacing w:before="101" w:line="342" w:lineRule="auto"/>
        <w:ind w:left="1943" w:right="222" w:hanging="1255"/>
      </w:pPr>
      <w:r>
        <w:rPr>
          <w:spacing w:val="7"/>
        </w:rPr>
        <w:t>附件：1.辽宁省住房和城乡建设系统行政处罚裁量基准</w:t>
      </w:r>
      <w:r>
        <w:rPr>
          <w:spacing w:val="13"/>
        </w:rPr>
        <w:t xml:space="preserve"> </w:t>
      </w:r>
      <w:r>
        <w:rPr>
          <w:spacing w:val="6"/>
        </w:rPr>
        <w:t>编制和适用规则（2023</w:t>
      </w:r>
      <w:r>
        <w:rPr>
          <w:spacing w:val="-58"/>
        </w:rPr>
        <w:t xml:space="preserve"> </w:t>
      </w:r>
      <w:r>
        <w:rPr>
          <w:spacing w:val="6"/>
        </w:rPr>
        <w:t>版）</w:t>
      </w:r>
    </w:p>
    <w:p w14:paraId="50E313FD">
      <w:pPr>
        <w:pStyle w:val="2"/>
        <w:spacing w:before="49" w:line="343" w:lineRule="auto"/>
        <w:ind w:left="1940" w:right="219" w:hanging="301"/>
      </w:pPr>
      <w:r>
        <w:rPr>
          <w:spacing w:val="22"/>
        </w:rPr>
        <w:t>2.辽宁省住房和城乡建设系统行政处罚裁量权</w:t>
      </w:r>
      <w:r>
        <w:rPr>
          <w:spacing w:val="17"/>
        </w:rPr>
        <w:t xml:space="preserve"> </w:t>
      </w:r>
      <w:r>
        <w:rPr>
          <w:spacing w:val="5"/>
        </w:rPr>
        <w:t>基准（2023</w:t>
      </w:r>
      <w:r>
        <w:rPr>
          <w:spacing w:val="-65"/>
        </w:rPr>
        <w:t xml:space="preserve"> </w:t>
      </w:r>
      <w:r>
        <w:rPr>
          <w:spacing w:val="5"/>
        </w:rPr>
        <w:t>版)</w:t>
      </w:r>
    </w:p>
    <w:p w14:paraId="1D68B298">
      <w:pPr>
        <w:spacing w:line="248" w:lineRule="auto"/>
        <w:rPr>
          <w:rFonts w:ascii="Arial"/>
          <w:sz w:val="21"/>
        </w:rPr>
      </w:pPr>
    </w:p>
    <w:p w14:paraId="69695F94">
      <w:pPr>
        <w:spacing w:line="248" w:lineRule="auto"/>
        <w:rPr>
          <w:rFonts w:ascii="Arial"/>
          <w:sz w:val="21"/>
        </w:rPr>
      </w:pPr>
    </w:p>
    <w:p w14:paraId="4F1DCD19">
      <w:pPr>
        <w:spacing w:line="248" w:lineRule="auto"/>
        <w:rPr>
          <w:rFonts w:ascii="Arial"/>
          <w:sz w:val="21"/>
        </w:rPr>
      </w:pPr>
    </w:p>
    <w:p w14:paraId="62BD1856">
      <w:pPr>
        <w:spacing w:line="248" w:lineRule="auto"/>
        <w:rPr>
          <w:rFonts w:ascii="Arial"/>
          <w:sz w:val="21"/>
        </w:rPr>
      </w:pPr>
    </w:p>
    <w:p w14:paraId="4802E9D4">
      <w:pPr>
        <w:spacing w:line="248" w:lineRule="auto"/>
        <w:rPr>
          <w:rFonts w:ascii="Arial"/>
          <w:sz w:val="21"/>
        </w:rPr>
      </w:pPr>
    </w:p>
    <w:p w14:paraId="0CEC8D1C">
      <w:pPr>
        <w:spacing w:line="248" w:lineRule="auto"/>
        <w:rPr>
          <w:rFonts w:ascii="Arial"/>
          <w:sz w:val="21"/>
        </w:rPr>
      </w:pPr>
    </w:p>
    <w:p w14:paraId="1F62AFAE">
      <w:pPr>
        <w:spacing w:line="249" w:lineRule="auto"/>
        <w:rPr>
          <w:rFonts w:ascii="Arial"/>
          <w:sz w:val="21"/>
        </w:rPr>
      </w:pPr>
    </w:p>
    <w:p w14:paraId="49393246">
      <w:pPr>
        <w:pStyle w:val="2"/>
        <w:spacing w:before="101" w:line="222" w:lineRule="auto"/>
        <w:ind w:left="4189"/>
      </w:pPr>
      <w:r>
        <w:rPr>
          <w:spacing w:val="8"/>
        </w:rPr>
        <w:t>辽宁省住房和城乡建设厅</w:t>
      </w:r>
    </w:p>
    <w:p w14:paraId="56CEF720">
      <w:pPr>
        <w:pStyle w:val="2"/>
        <w:spacing w:before="228" w:line="222" w:lineRule="auto"/>
        <w:ind w:left="4766"/>
      </w:pPr>
      <w:r>
        <w:rPr>
          <w:spacing w:val="-6"/>
        </w:rPr>
        <w:t>2023</w:t>
      </w:r>
      <w:r>
        <w:rPr>
          <w:spacing w:val="-59"/>
        </w:rPr>
        <w:t xml:space="preserve"> </w:t>
      </w:r>
      <w:r>
        <w:rPr>
          <w:spacing w:val="-6"/>
        </w:rPr>
        <w:t>年11月20日</w:t>
      </w:r>
    </w:p>
    <w:p w14:paraId="1B765F1E">
      <w:pPr>
        <w:pStyle w:val="2"/>
        <w:spacing w:before="226" w:line="220" w:lineRule="auto"/>
        <w:ind w:left="18"/>
        <w:rPr>
          <w:spacing w:val="8"/>
        </w:rPr>
      </w:pPr>
    </w:p>
    <w:p w14:paraId="26085E2D">
      <w:pPr>
        <w:pStyle w:val="2"/>
        <w:spacing w:before="226" w:line="220" w:lineRule="auto"/>
        <w:ind w:left="18"/>
      </w:pPr>
      <w:bookmarkStart w:id="0" w:name="_GoBack"/>
      <w:bookmarkEnd w:id="0"/>
      <w:r>
        <w:rPr>
          <w:spacing w:val="8"/>
        </w:rPr>
        <w:t>（此件公开发布）</w:t>
      </w:r>
    </w:p>
    <w:p w14:paraId="529E47E1">
      <w:pPr>
        <w:spacing w:line="246" w:lineRule="auto"/>
        <w:rPr>
          <w:rFonts w:ascii="Arial"/>
          <w:sz w:val="21"/>
        </w:rPr>
      </w:pPr>
    </w:p>
    <w:p w14:paraId="65079F59">
      <w:pPr>
        <w:spacing w:line="246" w:lineRule="auto"/>
        <w:rPr>
          <w:rFonts w:ascii="Arial"/>
          <w:sz w:val="21"/>
        </w:rPr>
      </w:pPr>
    </w:p>
    <w:p w14:paraId="549BDBEB">
      <w:pPr>
        <w:spacing w:line="246" w:lineRule="auto"/>
        <w:rPr>
          <w:rFonts w:ascii="Arial"/>
          <w:sz w:val="21"/>
        </w:rPr>
      </w:pPr>
    </w:p>
    <w:p w14:paraId="4BD8AA69">
      <w:pPr>
        <w:spacing w:line="246" w:lineRule="auto"/>
        <w:rPr>
          <w:rFonts w:ascii="Arial"/>
          <w:sz w:val="21"/>
        </w:rPr>
      </w:pPr>
    </w:p>
    <w:p w14:paraId="6AEC54C4">
      <w:pPr>
        <w:spacing w:line="246" w:lineRule="auto"/>
        <w:rPr>
          <w:rFonts w:ascii="Arial"/>
          <w:sz w:val="21"/>
        </w:rPr>
      </w:pPr>
    </w:p>
    <w:p w14:paraId="4379E443">
      <w:pPr>
        <w:spacing w:line="246" w:lineRule="auto"/>
        <w:rPr>
          <w:rFonts w:ascii="Arial"/>
          <w:sz w:val="21"/>
        </w:rPr>
      </w:pPr>
    </w:p>
    <w:p w14:paraId="7F2D2B40">
      <w:pPr>
        <w:spacing w:line="247" w:lineRule="auto"/>
        <w:rPr>
          <w:rFonts w:ascii="Arial"/>
          <w:sz w:val="21"/>
        </w:rPr>
      </w:pPr>
    </w:p>
    <w:p w14:paraId="3E09E896">
      <w:pPr>
        <w:spacing w:line="247" w:lineRule="auto"/>
        <w:rPr>
          <w:rFonts w:ascii="Arial"/>
          <w:sz w:val="21"/>
        </w:rPr>
      </w:pPr>
    </w:p>
    <w:p w14:paraId="232E5FFD">
      <w:pPr>
        <w:spacing w:line="247" w:lineRule="auto"/>
        <w:rPr>
          <w:rFonts w:ascii="Arial"/>
          <w:sz w:val="21"/>
        </w:rPr>
      </w:pPr>
    </w:p>
    <w:p w14:paraId="638C4765">
      <w:pPr>
        <w:spacing w:line="247" w:lineRule="auto"/>
        <w:rPr>
          <w:rFonts w:ascii="Arial"/>
          <w:sz w:val="21"/>
        </w:rPr>
      </w:pPr>
    </w:p>
    <w:p w14:paraId="0E646EE9">
      <w:pPr>
        <w:spacing w:line="247" w:lineRule="auto"/>
        <w:rPr>
          <w:rFonts w:ascii="Arial"/>
          <w:sz w:val="21"/>
        </w:rPr>
      </w:pPr>
    </w:p>
    <w:p w14:paraId="5D0D46BB">
      <w:pPr>
        <w:spacing w:line="247" w:lineRule="auto"/>
        <w:rPr>
          <w:rFonts w:ascii="Arial"/>
          <w:sz w:val="21"/>
        </w:rPr>
      </w:pPr>
    </w:p>
    <w:p w14:paraId="40960FD8">
      <w:pPr>
        <w:spacing w:line="247" w:lineRule="auto"/>
        <w:rPr>
          <w:rFonts w:ascii="Arial"/>
          <w:sz w:val="21"/>
        </w:rPr>
      </w:pPr>
    </w:p>
    <w:p w14:paraId="1A904D01">
      <w:pPr>
        <w:spacing w:line="247" w:lineRule="auto"/>
        <w:rPr>
          <w:rFonts w:ascii="Arial"/>
          <w:sz w:val="21"/>
        </w:rPr>
      </w:pPr>
    </w:p>
    <w:p w14:paraId="49447AA7">
      <w:pPr>
        <w:spacing w:line="247" w:lineRule="auto"/>
        <w:rPr>
          <w:rFonts w:ascii="Arial"/>
          <w:sz w:val="21"/>
        </w:rPr>
      </w:pPr>
    </w:p>
    <w:p w14:paraId="7833E9CE">
      <w:pPr>
        <w:spacing w:line="247" w:lineRule="auto"/>
        <w:rPr>
          <w:rFonts w:ascii="Arial"/>
          <w:sz w:val="21"/>
        </w:rPr>
      </w:pPr>
    </w:p>
    <w:p w14:paraId="540F7317">
      <w:pPr>
        <w:spacing w:line="247" w:lineRule="auto"/>
        <w:rPr>
          <w:rFonts w:ascii="Arial"/>
          <w:sz w:val="21"/>
        </w:rPr>
      </w:pPr>
    </w:p>
    <w:p w14:paraId="01B370BB">
      <w:pPr>
        <w:spacing w:line="247" w:lineRule="auto"/>
        <w:rPr>
          <w:rFonts w:ascii="Arial"/>
          <w:sz w:val="21"/>
        </w:rPr>
      </w:pPr>
    </w:p>
    <w:p w14:paraId="2528CBC3">
      <w:pPr>
        <w:spacing w:line="247" w:lineRule="auto"/>
        <w:rPr>
          <w:rFonts w:ascii="Arial"/>
          <w:sz w:val="21"/>
        </w:rPr>
      </w:pPr>
    </w:p>
    <w:p w14:paraId="68535990">
      <w:pPr>
        <w:spacing w:line="247" w:lineRule="auto"/>
        <w:rPr>
          <w:rFonts w:ascii="Arial"/>
          <w:sz w:val="21"/>
        </w:rPr>
      </w:pPr>
    </w:p>
    <w:p w14:paraId="45FDB598">
      <w:pPr>
        <w:spacing w:line="247" w:lineRule="auto"/>
        <w:rPr>
          <w:rFonts w:ascii="Arial"/>
          <w:sz w:val="21"/>
        </w:rPr>
      </w:pPr>
    </w:p>
    <w:p w14:paraId="1D9A9877">
      <w:pPr>
        <w:spacing w:line="247" w:lineRule="auto"/>
        <w:rPr>
          <w:rFonts w:ascii="Arial"/>
          <w:sz w:val="21"/>
        </w:rPr>
      </w:pPr>
    </w:p>
    <w:p w14:paraId="51CAC478">
      <w:pPr>
        <w:spacing w:line="247" w:lineRule="auto"/>
        <w:rPr>
          <w:rFonts w:ascii="Arial"/>
          <w:sz w:val="21"/>
        </w:rPr>
      </w:pPr>
    </w:p>
    <w:p w14:paraId="4AC0F253">
      <w:pPr>
        <w:spacing w:line="247" w:lineRule="auto"/>
        <w:rPr>
          <w:rFonts w:ascii="Arial"/>
          <w:sz w:val="21"/>
        </w:rPr>
      </w:pPr>
    </w:p>
    <w:p w14:paraId="7E264A29">
      <w:pPr>
        <w:spacing w:line="247" w:lineRule="auto"/>
        <w:rPr>
          <w:rFonts w:ascii="Arial"/>
          <w:sz w:val="21"/>
        </w:rPr>
      </w:pPr>
    </w:p>
    <w:p w14:paraId="69B5CCC4">
      <w:pPr>
        <w:pStyle w:val="2"/>
        <w:spacing w:before="102" w:line="222" w:lineRule="auto"/>
      </w:pPr>
    </w:p>
    <w:sectPr>
      <w:footerReference r:id="rId7" w:type="default"/>
      <w:pgSz w:w="11906" w:h="16839"/>
      <w:pgMar w:top="1431" w:right="1580" w:bottom="1121" w:left="1785" w:header="0" w:footer="84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FCD09">
    <w:pPr>
      <w:spacing w:line="177" w:lineRule="auto"/>
      <w:ind w:left="408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4"/>
        <w:sz w:val="28"/>
        <w:szCs w:val="28"/>
      </w:rPr>
      <w:t>-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1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59CA3">
    <w:pPr>
      <w:spacing w:before="1" w:line="176" w:lineRule="auto"/>
      <w:ind w:left="382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-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2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8D0FC">
    <w:pPr>
      <w:spacing w:before="1" w:line="176" w:lineRule="auto"/>
      <w:ind w:left="382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6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3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mY5MzcwNzY2YmRhZWE1MjViY2Q5YzYyOWI0NjkyYzgifQ=="/>
  </w:docVars>
  <w:rsids>
    <w:rsidRoot w:val="00000000"/>
    <w:rsid w:val="22C76688"/>
    <w:rsid w:val="2D4336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891</Words>
  <Characters>931</Characters>
  <TotalTime>2</TotalTime>
  <ScaleCrop>false</ScaleCrop>
  <LinksUpToDate>false</LinksUpToDate>
  <CharactersWithSpaces>993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2023-12-15T16:28:00Z</dcterms:created>
  <dc:creator>GoodGoodStudy</dc:creator>
  <cp:lastModifiedBy>杨洋</cp:lastModifiedBy>
  <dcterms:modified xsi:type="dcterms:W3CDTF">2024-11-11T06:12:03Z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2024-11-06T14:25:07Z</vt:filetime>
  </property>
  <property fmtid="{D5CDD505-2E9C-101B-9397-08002B2CF9AE}" pid="4" name="KSOProductBuildVer">
    <vt:lpwstr>2052-12.1.0.18912</vt:lpwstr>
  </property>
  <property fmtid="{D5CDD505-2E9C-101B-9397-08002B2CF9AE}" pid="5" name="ICV">
    <vt:lpwstr>60873C9D0AC0479A8E38897FCB760FC9_12</vt:lpwstr>
  </property>
</Properties>
</file>